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>
      <w:pPr>
        <w:pStyle w:val="CSILevel0"/>
        <w:numPr>
          <w:ilvl w:val="0"/>
          <w:numId w:val="1"/>
        </w:numPr>
        <w:ind w:left="0"/>
        <w:jc w:val="center"/>
      </w:pPr>
      <w:bookmarkStart w:id="0" w:name=""/>
      <w:bookmarkEnd w:id="0"/>
      <w:r>
        <w:rPr>
          <w:rFonts w:ascii="arial" w:eastAsia="arial" w:hAnsi="arial" w:cs="arial"/>
          <w:sz w:val="20"/>
          <w:szCs w:val="20"/>
        </w:rPr>
        <w:t xml:space="preserve">Section 033000 </w:t>
      </w:r>
      <w:r>
        <w:br/>
      </w:r>
      <w:r>
        <w:rPr>
          <w:rFonts w:ascii="arial" w:eastAsia="arial" w:hAnsi="arial" w:cs="arial"/>
          <w:sz w:val="20"/>
          <w:szCs w:val="20"/>
        </w:rPr>
        <w:t>Cast-in-Place Concrete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1  GENERAL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Related Requirements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Section 032000 - Concrete Reinforcing.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Section 033511 - Concrete Floor Finishes:  Densifiers, hardeners, applied coatings, and polishing.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Section 079200 - Joint Sealants:  Products and installation for sealants and joint fillers for saw cut joints and isolation joints in slabs.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Price and Payment Procedures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Cast-in-place concrete work will be paid for by the unit price method.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012200 - Unit Prices for additional unit price requirements.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Concrete - ​Slab-on-Grade​:  Includes formwork​​, reinforcement​​, concrete, placement accessories, consolidating and leveling, troweling, and curing.  Measurement by: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Cubic yard.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Concrete - Vertical in Forms:  Includes formwork​​, reinforcement​​, concrete, placement accessories, consolidating, and curing.  Measurement by: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Cubic yard.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Concrete - Miscellaneous Locations:  Includes formwork​​, reinforcement​​, concrete, placement accessories, consolidating, and curing.  Measurement by: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Cubic yard.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Concrete - Grouting:  Includes preparation of substrate, grout, placement, consolidating, troweling, and curing.  Measurement by the cubic yard.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Construction Joint Devices:  Includes component,  accessories, and installation. Measurement by the linear foot.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Reference Standards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ACI CODE-318</w:t>
      </w:r>
      <w:r>
        <w:rPr>
          <w:rFonts w:ascii="arial" w:eastAsia="arial" w:hAnsi="arial" w:cs="arial"/>
          <w:sz w:val="20"/>
          <w:szCs w:val="20"/>
        </w:rPr>
        <w:t xml:space="preserve"> - Building Code Requirements for Structural Concrete and Commentary; 2019 (Reapproved 2022).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ACI PRC-211.1</w:t>
      </w:r>
      <w:r>
        <w:rPr>
          <w:rFonts w:ascii="arial" w:eastAsia="arial" w:hAnsi="arial" w:cs="arial"/>
          <w:sz w:val="20"/>
          <w:szCs w:val="20"/>
        </w:rPr>
        <w:t xml:space="preserve"> - Selecting Proportions for Normal-Density and High Density-Concrete - Guide; 2022.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ACI PRC-302.1</w:t>
      </w:r>
      <w:r>
        <w:rPr>
          <w:rFonts w:ascii="arial" w:eastAsia="arial" w:hAnsi="arial" w:cs="arial"/>
          <w:sz w:val="20"/>
          <w:szCs w:val="20"/>
        </w:rPr>
        <w:t xml:space="preserve"> - Guide to Concrete Floor and Slab Construction; 2015.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ACI PRC-304</w:t>
      </w:r>
      <w:r>
        <w:rPr>
          <w:rFonts w:ascii="arial" w:eastAsia="arial" w:hAnsi="arial" w:cs="arial"/>
          <w:sz w:val="20"/>
          <w:szCs w:val="20"/>
        </w:rPr>
        <w:t xml:space="preserve"> - Guide for Measuring, Mixing, Transporting, and Placing Concrete; 2000 (Reapproved 2009).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ACI PRC-305</w:t>
      </w:r>
      <w:r>
        <w:rPr>
          <w:rFonts w:ascii="arial" w:eastAsia="arial" w:hAnsi="arial" w:cs="arial"/>
          <w:sz w:val="20"/>
          <w:szCs w:val="20"/>
        </w:rPr>
        <w:t xml:space="preserve"> - Guide to Hot Weather Concreting; 2020.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ACI PRC-306</w:t>
      </w:r>
      <w:r>
        <w:rPr>
          <w:rFonts w:ascii="arial" w:eastAsia="arial" w:hAnsi="arial" w:cs="arial"/>
          <w:sz w:val="20"/>
          <w:szCs w:val="20"/>
        </w:rPr>
        <w:t xml:space="preserve"> - Guide to Cold Weather Concreting; 2016.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ACI PRC-308</w:t>
      </w:r>
      <w:r>
        <w:rPr>
          <w:rFonts w:ascii="arial" w:eastAsia="arial" w:hAnsi="arial" w:cs="arial"/>
          <w:sz w:val="20"/>
          <w:szCs w:val="20"/>
        </w:rPr>
        <w:t xml:space="preserve"> - Guide to External Curing of Concrete; 2016.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ACI SPEC-301</w:t>
      </w:r>
      <w:r>
        <w:rPr>
          <w:rFonts w:ascii="arial" w:eastAsia="arial" w:hAnsi="arial" w:cs="arial"/>
          <w:sz w:val="20"/>
          <w:szCs w:val="20"/>
        </w:rPr>
        <w:t xml:space="preserve"> - Specifications for Concrete Construction; 2020.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E1643</w:t>
      </w:r>
      <w:r>
        <w:rPr>
          <w:rFonts w:ascii="arial" w:eastAsia="arial" w:hAnsi="arial" w:cs="arial"/>
          <w:sz w:val="20"/>
          <w:szCs w:val="20"/>
        </w:rPr>
        <w:t xml:space="preserve"> - Standard Practice for Selection, Design, Installation, and Inspection of Water Vapor Retarders Used in Contact with Earth or Granular Fill Under Concrete Slabs; 2018a.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E1745</w:t>
      </w:r>
      <w:r>
        <w:rPr>
          <w:rFonts w:ascii="arial" w:eastAsia="arial" w:hAnsi="arial" w:cs="arial"/>
          <w:sz w:val="20"/>
          <w:szCs w:val="20"/>
        </w:rPr>
        <w:t xml:space="preserve"> - Standard Specification for Plastic Water Vapor Retarders Used in Contact with Soil or Granular Fill under Concrete Slabs; 2017 (Reapproved 2023).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Submittals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013000 - Administrative Requirements for submittal procedures.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Samples:  Submit samples of underslab vapor retarder to be used.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Test Reports:  Submit report for each test or series of tests specified.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Project Record Documents:  Accurately record actual locations of embedded utilities and components that will be concealed from view upon completion of concrete work.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Warranty:  Submit manufacturer warranty and ensure forms have been completed in </w:t>
      </w:r>
      <w:r>
        <w:rPr>
          <w:rFonts w:ascii="arial" w:eastAsia="arial" w:hAnsi="arial" w:cs="arial"/>
          <w:sz w:val="20"/>
          <w:szCs w:val="20"/>
        </w:rPr>
        <w:t>Owner</w:t>
      </w:r>
      <w:r>
        <w:rPr>
          <w:rFonts w:ascii="arial" w:eastAsia="arial" w:hAnsi="arial" w:cs="arial"/>
          <w:sz w:val="20"/>
          <w:szCs w:val="20"/>
        </w:rPr>
        <w:t>'s name and registered with manufacturer.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Quality Assurance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Perform work of this section in accordance with ACI SPEC-301 and ACI CODE-318.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Follow recommendations of ACI PRC-305 when concreting during hot weather.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Follow recommendations of ACI PRC-306 when concreting during cold weather.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2  PRODUCTS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Formwork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Form Materials:  </w:t>
      </w:r>
      <w:r>
        <w:rPr>
          <w:rFonts w:ascii="arial" w:eastAsia="arial" w:hAnsi="arial" w:cs="arial"/>
          <w:sz w:val="20"/>
          <w:szCs w:val="20"/>
        </w:rPr>
        <w:t>Contractor</w:t>
      </w:r>
      <w:r>
        <w:rPr>
          <w:rFonts w:ascii="arial" w:eastAsia="arial" w:hAnsi="arial" w:cs="arial"/>
          <w:sz w:val="20"/>
          <w:szCs w:val="20"/>
        </w:rPr>
        <w:t>'s choice of standard products with sufficient strength to withstand hydrostatic head without distortion in excess of permitted tolerances.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Form Facing for Exposed Finish Concrete:  </w:t>
      </w:r>
      <w:r>
        <w:rPr>
          <w:rFonts w:ascii="arial" w:eastAsia="arial" w:hAnsi="arial" w:cs="arial"/>
          <w:sz w:val="20"/>
          <w:szCs w:val="20"/>
        </w:rPr>
        <w:t>Contractor</w:t>
      </w:r>
      <w:r>
        <w:rPr>
          <w:rFonts w:ascii="arial" w:eastAsia="arial" w:hAnsi="arial" w:cs="arial"/>
          <w:sz w:val="20"/>
          <w:szCs w:val="20"/>
        </w:rPr>
        <w:t>'s choice of materials that will provide smooth, stain-free final appearance.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Earth Cuts:  Do not use earth cuts as forms for vertical surfaces.  Natural rock formations that maintain a stable vertical edge may be used as side forms.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Form Ties:  Cone snap type that will leave no metal within 1-1/2 inches of concrete surface.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Reinforcement Materials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Refer to Structural Drawings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Concrete Materials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Refer to Structural Drawings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Admixtures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Refer to Structural Drawings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Accessory Materials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Underslab Vapor Retarder: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Sheet Material:  ASTM E1745, Class A; stated by manufacturer as suitable for installation in contact with soil or granular fill under concrete slabs.  Single-ply polyethylene is prohibited.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Accessory Products:  Vapor retarder manufacturer's recommended tape, adhesive, mastic, prefabricated boots, etc., for sealing seams and penetrations.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Bonding and Jointing Products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Slab Isolation Joint Filler:  1/2-inch thick, height equal to slab thickness, with removable top section forming 1/2-inch deep sealant pocket after removal.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Concrete Mix Design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Refer to Structural Drawings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Admixtures:  Add acceptable admixtures as recommended in ACI PRC-211.1 and at rates recommended or required by manufacturer.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3  EXECUTION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Preparation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Formwork:  Comply with requirements of ACI SPEC-301. Design and fabricate forms to support all applied loads until concrete is cured and for easy removal without damage to concrete.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Interior Slabs on Grade:  Install vapor retarder under interior slabs on grade.  Comply with ASTM E1643.  Lap joints minimum 6 inches.  Seal joints, seams and penetrations watertight with manufacturer's recommended products and follow manufacturer's written instructions.  Repair damaged vapor retarder before covering.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Placing Concrete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Place concrete in accordance with ACI PRC-304.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Place concrete for floor slabs in accordance with ACI PRC-302.1.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Finish floors level and flat, unless otherwise indicated, within the tolerances specified below.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Slab Jointing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Locate joints as indicated on drawings.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Anchor joint fillers and devices to prevent movement during concrete placement.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Isolation Joints:  Use preformed joint filler with removable top section for joint sealant, total height equal to thickness of slab, set flush with top of slab.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Floor Flatness and Levelness Tolerances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Maximum Variation of Surface Flatness: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Exposed Concrete Floors:  1/4 inch in 10 feet.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Under Seamless Resilient Flooring:  1/4 inch in 10 feet.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Under Carpeting:  1/4 inch in 10 feet.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Correct the slab surface if tolerances are less than specified.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Correct defects by grinding or by removal and replacement of the defective work.  Areas requiring corrective work will be identified.  Re-measure corrected areas by the same process.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Concrete Finishing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Concrete Slabs:  Finish to requirements of ACI PRC-302.1 and as follows: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Surfaces to Receive Thin Floor Coverings:  "Steel trowel" as described in ACI PRC-302.1; thin floor coverings include carpeting, resilient flooring, seamless flooring, resinous matrix terrazzo, thin set quarry tile, and thin set ceramic tile.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Decorative Exposed Surfaces:  Trowel as described in ACI PRC-302.1; take measures necessary to avoid black-burnish marks; decorative exposed surfaces include surfaces to be stained or dyed, pigmented concrete, surfaces to receive liquid hardeners, surfaces to receive dry-shake hardeners, surfaces to be polished, and all other exposed slab surfaces.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Curing and Protection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Comply with requirements of ACI PRC-308. Immediately after placement, protect concrete from premature drying, excessively hot or cold temperatures, and mechanical injury.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Maintain concrete with minimal moisture loss at relatively constant temperature for period necessary for hydration of cement and hardening of concrete.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Surfaces Not in Contact with Forms: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Initial Curing:  Start as soon as free water has disappeared and before surface is dry.  Keep continuously moist for not less than three days by water ponding, water-saturated sand, water-fog spray, or saturated burlap.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Final Curing:  Begin after initial curing but before surface is dry.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Defective Concrete</w:t>
      </w:r>
    </w:p>
    <w:p>
      <w:pPr>
        <w:pStyle w:val="CSILevel0"/>
        <w:numPr>
          <w:ilvl w:val="0"/>
          <w:numId w:val="3"/>
        </w:numPr>
        <w:ind w:left="0"/>
        <w:jc w:val="center"/>
        <w:sectPr>
          <w:headerReference w:type="default" r:id="gemHfRid0"/>
          <w:footerReference w:type="default" r:id="gemHfRid1"/>
          <w:pgSz w:w="12240" w:h="15840" w:code="1"/>
          <w:pgMar w:top="1440" w:right="1440" w:bottom="1440" w:left="1440" w:header="720" w:footer="720" w:gutter="0"/>
          <w:pgNumType w:start="1"/>
          <w:cols w:space="708"/>
          <w:docGrid w:linePitch="360"/>
        </w:sectPr>
      </w:pPr>
      <w:r>
        <w:rPr>
          <w:rFonts w:ascii="arial" w:eastAsia="arial" w:hAnsi="arial" w:cs="arial"/>
          <w:sz w:val="20"/>
          <w:szCs w:val="20"/>
        </w:rPr>
        <w:t>END OF SECTION</w:t>
      </w:r>
    </w:p>
    <w:p>
      <w:pPr>
        <w:pageBreakBefore/>
        <w:jc w:val="center"/>
        <w:rPr>
          <w:sz w:val="50"/>
          <w:szCs w:val="50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rPr>
          <w:rFonts w:ascii="arial" w:eastAsia="arial" w:hAnsi="arial" w:cs="arial"/>
          <w:color w:val="808080"/>
          <w:sz w:val="38"/>
          <w:szCs w:val="38"/>
        </w:rPr>
        <w:t>This page intentionally left blank</w:t>
      </w:r>
    </w:p>
    <w:sectPr>
      <w:headerReference w:type="default" r:id="gemHfRid2"/>
      <w:footerReference w:type="default" r:id="gemHfRid3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Haven House Expansion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033000 -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hint="default" w:ascii="arial" w:eastAsia="arial" w:hAnsi="arial" w:cs="arial"/>
              <w:color w:val="000000"/>
              <w:spacing w:val="0"/>
              <w:w w:val="100"/>
              <w:kern w:val="0"/>
              <w:position w:val="0"/>
              <w:sz w:val="20"/>
              <w:szCs w:val="20"/>
              <w:highlight w:val="none"/>
              <w:u w:color="000000" w:val="none"/>
              <w:bdr w:val="nil"/>
            </w:rPr>
            <w:t>3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 xml:space="preserve">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Cast-in-Place Concrete </w:t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/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pStyle w:val="CSILevel0"/>
      <w:lvlText w:val="%1."/>
      <w:pPr>
        <w:ind w:left="720" w:hanging="360"/>
      </w:pPr>
    </w:lvl>
    <w:lvl w:ilvl="1">
      <w:start w:val="1"/>
      <w:numFmt w:val="lowerLetter"/>
      <w:pStyle w:val="CSILevel1"/>
      <w:lvlText w:val="%2."/>
      <w:pPr>
        <w:ind w:left="1440" w:hanging="360"/>
      </w:pPr>
    </w:lvl>
    <w:lvl w:ilvl="2">
      <w:start w:val="1"/>
      <w:numFmt w:val="lowerRoman"/>
      <w:pStyle w:val="CSILevel2"/>
      <w:lvlText w:val="%3."/>
      <w:lvlJc w:val="right"/>
      <w:pPr>
        <w:ind w:left="2160" w:hanging="180"/>
      </w:pPr>
    </w:lvl>
    <w:lvl w:ilvl="3">
      <w:start w:val="1"/>
      <w:pStyle w:val="CSILevel3"/>
      <w:lvlText w:val="%4."/>
      <w:pPr>
        <w:ind w:left="2880" w:hanging="360"/>
      </w:pPr>
    </w:lvl>
    <w:lvl w:ilvl="4">
      <w:start w:val="1"/>
      <w:numFmt w:val="lowerLetter"/>
      <w:pStyle w:val="CSILevel4"/>
      <w:lvlText w:val="%5."/>
      <w:pPr>
        <w:ind w:left="3600" w:hanging="360"/>
      </w:pPr>
    </w:lvl>
    <w:lvl w:ilvl="5">
      <w:start w:val="1"/>
      <w:numFmt w:val="lowerRoman"/>
      <w:pStyle w:val="CSILevel5"/>
      <w:lvlText w:val="%6."/>
      <w:lvlJc w:val="right"/>
      <w:pPr>
        <w:ind w:left="4320" w:hanging="180"/>
      </w:pPr>
    </w:lvl>
    <w:lvl w:ilvl="6">
      <w:start w:val="1"/>
      <w:pStyle w:val="CSILevel6"/>
      <w:lvlText w:val="%7."/>
      <w:pPr>
        <w:ind w:left="5040" w:hanging="360"/>
      </w:pPr>
    </w:lvl>
    <w:lvl w:ilvl="7">
      <w:start w:val="1"/>
      <w:numFmt w:val="lowerLetter"/>
      <w:pStyle w:val="CSILevel7"/>
      <w:lvlText w:val="%8."/>
      <w:pPr>
        <w:ind w:left="5760" w:hanging="360"/>
      </w:pPr>
    </w:lvl>
    <w:lvl w:ilvl="8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  <w:num w:numId="2">
    <w:abstractNumId w:val="1"/>
    <w:lvlOverride w:ilvl="0">
      <w:lvl w:ilvl="0">
        <w:start w:val="1"/>
        <w:numFmt w:val="none"/>
        <w:pStyle w:val="CSILevel0"/>
        <w:suff w:val="nothing"/>
        <w:lvlText w:val="%1"/>
        <w:lvlJc w:val="center"/>
        <w:pPr>
          <w:ind w:left="720" w:hanging="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1">
      <w:lvl w:ilvl="1">
        <w:start w:val="1"/>
        <w:numFmt w:val="decimal"/>
        <w:pStyle w:val="CSILevel1"/>
        <w:suff w:val="nothing"/>
        <w:lvlText w:val=""/>
        <w:lvlJc w:val="left"/>
        <w:pPr>
          <w:ind w:left="0" w:hanging="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2">
      <w:lvl w:ilvl="2">
        <w:start w:val="1"/>
        <w:numFmt w:val="decimalZero"/>
        <w:pStyle w:val="CSILevel2"/>
        <w:suff w:val="tab"/>
        <w:lvlText w:val="%2.%3"/>
        <w:lvlJc w:val="left"/>
        <w:pPr>
          <w:ind w:left="530" w:hanging="53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3">
      <w:lvl w:ilvl="3">
        <w:start w:val="1"/>
        <w:numFmt w:val="upperLetter"/>
        <w:pStyle w:val="CSILevel3"/>
        <w:suff w:val="tab"/>
        <w:lvlText w:val="%4."/>
        <w:lvlJc w:val="left"/>
        <w:pPr>
          <w:ind w:left="90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4">
      <w:lvl w:ilvl="4">
        <w:start w:val="1"/>
        <w:numFmt w:val="decimal"/>
        <w:pStyle w:val="CSILevel4"/>
        <w:suff w:val="tab"/>
        <w:lvlText w:val="%5."/>
        <w:lvlJc w:val="left"/>
        <w:pPr>
          <w:ind w:left="1360" w:hanging="46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5">
      <w:lvl w:ilvl="5">
        <w:start w:val="1"/>
        <w:numFmt w:val="lowerLetter"/>
        <w:pStyle w:val="CSILevel5"/>
        <w:suff w:val="tab"/>
        <w:lvlText w:val="%6."/>
        <w:lvlJc w:val="left"/>
        <w:pPr>
          <w:ind w:left="178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6">
      <w:lvl w:ilvl="6">
        <w:start w:val="1"/>
        <w:numFmt w:val="decimal"/>
        <w:pStyle w:val="CSILevel6"/>
        <w:suff w:val="tab"/>
        <w:lvlText w:val="%7)"/>
        <w:lvlJc w:val="left"/>
        <w:pPr>
          <w:ind w:left="223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7">
      <w:lvl w:ilvl="7">
        <w:start w:val="1"/>
        <w:numFmt w:val="lowerLetter"/>
        <w:pStyle w:val="CSILevel7"/>
        <w:suff w:val="tab"/>
        <w:lvlText w:val="(%8)"/>
        <w:lvlJc w:val="left"/>
        <w:pPr>
          <w:ind w:left="265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8">
      <w:lvl w:ilvl="8">
        <w:start w:val="1"/>
        <w:numFmt w:val="decimal"/>
        <w:pStyle w:val="CSILevel8"/>
        <w:suff w:val="tab"/>
        <w:lvlText w:val="(%9)"/>
        <w:lvlJc w:val="left"/>
        <w:pPr>
          <w:ind w:left="310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</w:num>
  <w:num w:numId="3">
    <w:abstractNumId w:val="2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</w:rPr>
    </w:rPrDefault>
    <w:pPrDefault>
      <w:pPr>
        <w:spacing w:after="200" w:lineRule="auto" w:line="276"/>
      </w:pPr>
    </w:pPrDefault>
  </w:docDefaults>
  <w:style w:type="paragraph" w:styleId="CSILevel0">
    <w:name w:val="CSILevel0"/>
    <w:qFormat/>
    <w:pPr>
      <w:numPr>
        <w:ilvl w:val="0"/>
        <w:numId w:val="2"/>
      </w:numPr>
      <w:spacing w:before="86" w:after="0" w:lineRule="auto" w:line="24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0">
    <w:name w:val="Table-CSILevel0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0-AddParaTC">
    <w:name w:val="Table-CSILevel0-Add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0-RemoveParaTC">
    <w:name w:val="Table-CSILevel0-Remove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1">
    <w:name w:val="CSILevel1"/>
    <w:qFormat/>
    <w:pPr>
      <w:numPr>
        <w:ilvl w:val="1"/>
        <w:numId w:val="2"/>
      </w:numPr>
      <w:spacing w:before="86" w:after="0" w:lineRule="auto" w:line="24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1">
    <w:name w:val="Table-CSILevel1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1-AddParaTC">
    <w:name w:val="Table-CSILevel1-Add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1-RemoveParaTC">
    <w:name w:val="Table-CSILevel1-Remove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2">
    <w:name w:val="CSILevel2"/>
    <w:qFormat/>
    <w:pPr>
      <w:numPr>
        <w:ilvl w:val="2"/>
        <w:numId w:val="2"/>
      </w:numPr>
      <w:spacing w:before="86" w:after="0" w:lineRule="auto" w:line="24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2">
    <w:name w:val="Table-CSILevel2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2-AddParaTC">
    <w:name w:val="Table-CSILevel2-Add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2-RemoveParaTC">
    <w:name w:val="Table-CSILevel2-Remove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3">
    <w:name w:val="CSILevel3"/>
    <w:qFormat/>
    <w:pPr>
      <w:numPr>
        <w:ilvl w:val="3"/>
        <w:numId w:val="2"/>
      </w:numPr>
      <w:spacing w:before="86" w:after="0" w:lineRule="auto" w:line="24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3">
    <w:name w:val="Table-CSILevel3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3-AddParaTC">
    <w:name w:val="Table-CSILevel3-Add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3-RemoveParaTC">
    <w:name w:val="Table-CSILevel3-Remove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4">
    <w:name w:val="CSILevel4"/>
    <w:qFormat/>
    <w:pPr>
      <w:numPr>
        <w:ilvl w:val="4"/>
        <w:numId w:val="2"/>
      </w:numPr>
      <w:spacing w:before="14" w:after="0" w:lineRule="auto" w:line="24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4">
    <w:name w:val="Table-CSILevel4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4-AddParaTC">
    <w:name w:val="Table-CSILevel4-Add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4-RemoveParaTC">
    <w:name w:val="Table-CSILevel4-Remove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5">
    <w:name w:val="CSILevel5"/>
    <w:qFormat/>
    <w:pPr>
      <w:numPr>
        <w:ilvl w:val="5"/>
        <w:numId w:val="2"/>
      </w:numPr>
      <w:spacing w:before="14" w:after="0" w:lineRule="auto" w:line="24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5">
    <w:name w:val="Table-CSILevel5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5-AddParaTC">
    <w:name w:val="Table-CSILevel5-Add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5-RemoveParaTC">
    <w:name w:val="Table-CSILevel5-Remove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6">
    <w:name w:val="CSILevel6"/>
    <w:qFormat/>
    <w:pPr>
      <w:numPr>
        <w:ilvl w:val="6"/>
        <w:numId w:val="2"/>
      </w:numPr>
      <w:spacing w:before="14" w:after="0" w:lineRule="auto" w:line="24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6">
    <w:name w:val="Table-CSILevel6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6-AddParaTC">
    <w:name w:val="Table-CSILevel6-Add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6-RemoveParaTC">
    <w:name w:val="Table-CSILevel6-Remove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7">
    <w:name w:val="CSILevel7"/>
    <w:qFormat/>
    <w:pPr>
      <w:numPr>
        <w:ilvl w:val="7"/>
        <w:numId w:val="2"/>
      </w:numPr>
      <w:spacing w:before="14" w:after="0" w:lineRule="auto" w:line="24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7">
    <w:name w:val="Table-CSILevel7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7-AddParaTC">
    <w:name w:val="Table-CSILevel7-Add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7-RemoveParaTC">
    <w:name w:val="Table-CSILevel7-Remove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8">
    <w:name w:val="CSILevel8"/>
    <w:qFormat/>
    <w:pPr>
      <w:numPr>
        <w:ilvl w:val="8"/>
        <w:numId w:val="2"/>
      </w:numPr>
      <w:spacing w:before="14" w:after="0" w:lineRule="auto" w:line="24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8">
    <w:name w:val="Table-CSILevel8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8-AddParaTC">
    <w:name w:val="Table-CSILevel8-Add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8-RemoveParaTC">
    <w:name w:val="Table-CSILevel8-Remove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Normal Table" w:default="true">
    <w:name w:val="Normal Table"/>
    <w:uiPriority w:val="99"/>
    <w:semiHidden/>
    <w:unhideWhenUsed/>
    <w:qFormat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able Grid">
    <w:name w:val="Table Grid"/>
    <w:basedOn w:val="Normal Table"/>
    <w:qFormat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color="000000"/>
        <w:left w:val="single" w:sz="4" w:color="000000"/>
        <w:bottom w:val="single" w:sz="4" w:color="000000"/>
        <w:right w:val="single" w:sz="4" w:color="000000"/>
        <w:insideH w:val="single" w:sz="4" w:color="000000"/>
        <w:insideV w:val="single" w:sz="4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gemHfRid2" Type="http://schemas.openxmlformats.org/officeDocument/2006/relationships/header" Target="header2.xml" /><Relationship Id="gemHfRid3" Type="http://schemas.openxmlformats.org/officeDocument/2006/relationships/footer" Target="footer2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